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5D" w:rsidRPr="0052757C" w:rsidRDefault="0029445D" w:rsidP="0029445D">
      <w:pPr>
        <w:jc w:val="center"/>
        <w:rPr>
          <w:b/>
          <w:bCs/>
          <w:sz w:val="28"/>
          <w:vertAlign w:val="superscript"/>
        </w:rPr>
      </w:pPr>
      <w:r w:rsidRPr="0052757C">
        <w:rPr>
          <w:b/>
          <w:bCs/>
          <w:sz w:val="28"/>
          <w:vertAlign w:val="superscript"/>
        </w:rPr>
        <w:t>Федеральное государственное бюджетное образовательное учреждение</w:t>
      </w:r>
    </w:p>
    <w:p w:rsidR="0029445D" w:rsidRPr="0052757C" w:rsidRDefault="0029445D" w:rsidP="0029445D">
      <w:pPr>
        <w:jc w:val="center"/>
        <w:rPr>
          <w:b/>
          <w:bCs/>
          <w:sz w:val="28"/>
          <w:vertAlign w:val="superscript"/>
        </w:rPr>
      </w:pPr>
      <w:r w:rsidRPr="0052757C">
        <w:rPr>
          <w:b/>
          <w:bCs/>
          <w:sz w:val="28"/>
          <w:vertAlign w:val="superscript"/>
        </w:rPr>
        <w:t xml:space="preserve"> высшего образования</w:t>
      </w:r>
    </w:p>
    <w:p w:rsidR="0029445D" w:rsidRPr="0052757C" w:rsidRDefault="0029445D" w:rsidP="0029445D">
      <w:pPr>
        <w:jc w:val="center"/>
        <w:rPr>
          <w:b/>
          <w:bCs/>
          <w:sz w:val="28"/>
          <w:vertAlign w:val="superscript"/>
        </w:rPr>
      </w:pPr>
      <w:r w:rsidRPr="0052757C">
        <w:rPr>
          <w:b/>
          <w:bCs/>
          <w:sz w:val="28"/>
          <w:vertAlign w:val="superscript"/>
        </w:rPr>
        <w:t>Московский государственный институт культуры</w:t>
      </w:r>
    </w:p>
    <w:p w:rsidR="0029445D" w:rsidRPr="00D4426F" w:rsidRDefault="0029445D" w:rsidP="0029445D">
      <w:pPr>
        <w:jc w:val="center"/>
        <w:rPr>
          <w:b/>
          <w:bCs/>
        </w:rPr>
      </w:pPr>
    </w:p>
    <w:p w:rsidR="0029445D" w:rsidRPr="00D4426F" w:rsidRDefault="0029445D" w:rsidP="0029445D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9445D" w:rsidRPr="00D4426F" w:rsidTr="008B626E">
        <w:tc>
          <w:tcPr>
            <w:tcW w:w="4253" w:type="dxa"/>
          </w:tcPr>
          <w:p w:rsidR="00E5426E" w:rsidRPr="00D508C1" w:rsidRDefault="00E5426E" w:rsidP="00E5426E">
            <w:pPr>
              <w:widowControl w:val="0"/>
              <w:suppressAutoHyphens/>
              <w:jc w:val="right"/>
            </w:pPr>
            <w:r w:rsidRPr="00D508C1">
              <w:rPr>
                <w:b/>
              </w:rPr>
              <w:t>УТВЕРЖДЕНО</w:t>
            </w:r>
          </w:p>
          <w:p w:rsidR="00E5426E" w:rsidRPr="00D508C1" w:rsidRDefault="00E5426E" w:rsidP="00E5426E">
            <w:pPr>
              <w:widowControl w:val="0"/>
              <w:suppressAutoHyphens/>
              <w:jc w:val="right"/>
            </w:pPr>
            <w:r w:rsidRPr="00D508C1">
              <w:rPr>
                <w:b/>
              </w:rPr>
              <w:t>Председатель УМС</w:t>
            </w:r>
          </w:p>
          <w:p w:rsidR="00E5426E" w:rsidRPr="00D508C1" w:rsidRDefault="00E5426E" w:rsidP="00E5426E">
            <w:pPr>
              <w:widowControl w:val="0"/>
              <w:suppressAutoHyphens/>
              <w:jc w:val="right"/>
              <w:rPr>
                <w:b/>
                <w:bCs/>
              </w:rPr>
            </w:pPr>
            <w:r w:rsidRPr="00D508C1">
              <w:rPr>
                <w:b/>
                <w:bCs/>
              </w:rPr>
              <w:t>Факультета музыкального</w:t>
            </w:r>
          </w:p>
          <w:p w:rsidR="00735663" w:rsidRPr="00FD5BD3" w:rsidRDefault="00E5426E" w:rsidP="00E5426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искусства </w:t>
            </w:r>
            <w:r w:rsidRPr="00D508C1">
              <w:rPr>
                <w:b/>
                <w:bCs/>
              </w:rPr>
              <w:t>Н.И.Ануфриева</w:t>
            </w:r>
          </w:p>
          <w:p w:rsidR="0029445D" w:rsidRPr="00D4426F" w:rsidRDefault="0029445D" w:rsidP="00255927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29445D" w:rsidRPr="00D4426F" w:rsidRDefault="0029445D" w:rsidP="0029445D">
      <w:pPr>
        <w:rPr>
          <w:b/>
          <w:bCs/>
        </w:rPr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</w:pPr>
    </w:p>
    <w:p w:rsidR="0029445D" w:rsidRPr="00D4426F" w:rsidRDefault="0029445D" w:rsidP="0029445D">
      <w:pPr>
        <w:ind w:right="27"/>
        <w:rPr>
          <w:b/>
          <w:bCs/>
        </w:rPr>
      </w:pPr>
    </w:p>
    <w:p w:rsidR="0029445D" w:rsidRPr="00D4426F" w:rsidRDefault="0029445D" w:rsidP="0029445D">
      <w:pPr>
        <w:jc w:val="center"/>
        <w:rPr>
          <w:b/>
          <w:bCs/>
          <w:smallCaps/>
        </w:rPr>
      </w:pPr>
      <w:r w:rsidRPr="00D4426F">
        <w:rPr>
          <w:b/>
          <w:bCs/>
          <w:smallCaps/>
        </w:rPr>
        <w:t>МЕТОДИЧЕСКИЕ РЕКОМЕНДАЦИИ</w:t>
      </w:r>
      <w:r w:rsidR="0052757C">
        <w:rPr>
          <w:b/>
          <w:bCs/>
          <w:smallCaps/>
        </w:rPr>
        <w:t xml:space="preserve"> ПО</w:t>
      </w:r>
      <w:r w:rsidRPr="00D4426F">
        <w:rPr>
          <w:b/>
          <w:bCs/>
          <w:smallCaps/>
        </w:rPr>
        <w:t xml:space="preserve"> ДИСЦИПЛИН</w:t>
      </w:r>
      <w:r w:rsidR="0052757C">
        <w:rPr>
          <w:b/>
          <w:bCs/>
          <w:smallCaps/>
        </w:rPr>
        <w:t>Е</w:t>
      </w:r>
    </w:p>
    <w:p w:rsidR="0029445D" w:rsidRPr="00D4426F" w:rsidRDefault="0029445D" w:rsidP="0029445D">
      <w:pPr>
        <w:jc w:val="center"/>
        <w:rPr>
          <w:b/>
          <w:bCs/>
          <w:smallCaps/>
          <w:vertAlign w:val="superscript"/>
        </w:rPr>
      </w:pPr>
      <w:r w:rsidRPr="00D4426F">
        <w:rPr>
          <w:b/>
          <w:bCs/>
          <w:smallCaps/>
        </w:rPr>
        <w:br/>
      </w:r>
      <w:r w:rsidR="0052757C">
        <w:rPr>
          <w:b/>
          <w:bCs/>
          <w:smallCaps/>
        </w:rPr>
        <w:t>ФИЛОСОФИЯ</w:t>
      </w:r>
    </w:p>
    <w:p w:rsidR="0029445D" w:rsidRDefault="0029445D" w:rsidP="0029445D">
      <w:pPr>
        <w:rPr>
          <w:b/>
          <w:bCs/>
        </w:rPr>
      </w:pPr>
    </w:p>
    <w:p w:rsidR="00E5426E" w:rsidRDefault="00E5426E" w:rsidP="0029445D">
      <w:pPr>
        <w:rPr>
          <w:b/>
          <w:bCs/>
        </w:rPr>
      </w:pPr>
    </w:p>
    <w:p w:rsidR="00E5426E" w:rsidRPr="00D4426F" w:rsidRDefault="00E5426E" w:rsidP="0029445D">
      <w:pPr>
        <w:rPr>
          <w:b/>
          <w:bCs/>
        </w:rPr>
      </w:pPr>
    </w:p>
    <w:p w:rsidR="0029445D" w:rsidRPr="00D4426F" w:rsidRDefault="0029445D" w:rsidP="0029445D">
      <w:pPr>
        <w:rPr>
          <w:b/>
          <w:bCs/>
        </w:rPr>
      </w:pPr>
    </w:p>
    <w:p w:rsidR="0029445D" w:rsidRPr="00D4426F" w:rsidRDefault="0029445D" w:rsidP="0029445D">
      <w:pPr>
        <w:tabs>
          <w:tab w:val="right" w:leader="underscore" w:pos="8505"/>
        </w:tabs>
        <w:ind w:firstLine="567"/>
        <w:rPr>
          <w:b/>
          <w:bCs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3C167D" w:rsidRPr="00D508C1" w:rsidTr="00CB7FD3">
        <w:tc>
          <w:tcPr>
            <w:tcW w:w="3257" w:type="dxa"/>
            <w:shd w:val="clear" w:color="auto" w:fill="auto"/>
          </w:tcPr>
          <w:p w:rsidR="003C167D" w:rsidRPr="00D508C1" w:rsidRDefault="003C167D" w:rsidP="00CB7FD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3C167D" w:rsidRPr="00D508C1" w:rsidRDefault="003C167D" w:rsidP="00CB7FD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51.03.02</w:t>
            </w:r>
            <w:r>
              <w:rPr>
                <w:b/>
                <w:bCs/>
                <w:smallCaps/>
                <w:lang w:eastAsia="zh-CN"/>
              </w:rPr>
              <w:t xml:space="preserve">  </w:t>
            </w:r>
            <w:r w:rsidRPr="00D508C1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</w:rPr>
              <w:t>Народная художественная культура</w:t>
            </w:r>
            <w:r w:rsidRPr="00D508C1">
              <w:rPr>
                <w:b/>
                <w:bCs/>
                <w:lang w:eastAsia="zh-CN"/>
              </w:rPr>
              <w:t>»</w:t>
            </w:r>
          </w:p>
        </w:tc>
      </w:tr>
      <w:tr w:rsidR="003C167D" w:rsidRPr="00D508C1" w:rsidTr="00CB7FD3">
        <w:tc>
          <w:tcPr>
            <w:tcW w:w="3257" w:type="dxa"/>
            <w:shd w:val="clear" w:color="auto" w:fill="auto"/>
          </w:tcPr>
          <w:p w:rsidR="003C167D" w:rsidRPr="00D508C1" w:rsidRDefault="003C167D" w:rsidP="00CB7FD3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3C167D" w:rsidRDefault="003C167D" w:rsidP="00CB7FD3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казачьим творческим коллективом</w:t>
            </w:r>
          </w:p>
          <w:p w:rsidR="003C167D" w:rsidRPr="00244300" w:rsidRDefault="003C167D" w:rsidP="00CB7FD3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3C167D" w:rsidRPr="00D508C1" w:rsidTr="00CB7FD3">
        <w:tc>
          <w:tcPr>
            <w:tcW w:w="3257" w:type="dxa"/>
            <w:shd w:val="clear" w:color="auto" w:fill="auto"/>
          </w:tcPr>
          <w:p w:rsidR="003C167D" w:rsidRPr="00D508C1" w:rsidRDefault="003C167D" w:rsidP="00CB7FD3">
            <w:pPr>
              <w:ind w:right="-136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3C167D" w:rsidRDefault="003C167D" w:rsidP="00CB7FD3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бакалавр</w:t>
            </w:r>
          </w:p>
          <w:p w:rsidR="003C167D" w:rsidRPr="00244300" w:rsidRDefault="003C167D" w:rsidP="00CB7FD3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3C167D" w:rsidRPr="00D508C1" w:rsidTr="00CB7FD3">
        <w:tc>
          <w:tcPr>
            <w:tcW w:w="3257" w:type="dxa"/>
            <w:shd w:val="clear" w:color="auto" w:fill="auto"/>
          </w:tcPr>
          <w:p w:rsidR="003C167D" w:rsidRDefault="003C167D" w:rsidP="00CB7FD3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3C167D" w:rsidRPr="00D508C1" w:rsidRDefault="003C167D" w:rsidP="00CB7FD3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3C167D" w:rsidRDefault="003C167D" w:rsidP="00CB7FD3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3C167D" w:rsidRPr="00D508C1" w:rsidRDefault="003C167D" w:rsidP="00CB7FD3">
            <w:pPr>
              <w:spacing w:line="360" w:lineRule="auto"/>
            </w:pPr>
            <w:r w:rsidRPr="00D508C1"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  <w:bookmarkStart w:id="0" w:name="_GoBack"/>
      <w:bookmarkEnd w:id="0"/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29445D" w:rsidRPr="00D4426F" w:rsidRDefault="0029445D" w:rsidP="0029445D">
      <w:pPr>
        <w:rPr>
          <w:bCs/>
          <w:lang w:eastAsia="zh-CN"/>
        </w:rPr>
      </w:pPr>
    </w:p>
    <w:p w:rsidR="00735663" w:rsidRDefault="00735663">
      <w:pPr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>
        <w:rPr>
          <w:rFonts w:eastAsia="Calibri"/>
          <w:b/>
          <w:bCs/>
          <w:sz w:val="28"/>
          <w:szCs w:val="28"/>
          <w:lang w:eastAsia="zh-CN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413630" w:rsidRPr="00413630">
        <w:t>«</w:t>
      </w:r>
      <w:r w:rsidR="0052757C">
        <w:t>Философия</w:t>
      </w:r>
      <w:r w:rsidR="00121932" w:rsidRPr="00413630">
        <w:t>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бакалавров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52757C">
        <w:t>«Ф</w:t>
      </w:r>
      <w:r w:rsidR="000462C0">
        <w:t>илософия</w:t>
      </w:r>
      <w:r w:rsidR="00121932" w:rsidRPr="002B7408">
        <w:t xml:space="preserve">» </w:t>
      </w:r>
      <w:r w:rsidRPr="002B7408">
        <w:t>определены соответствующей</w:t>
      </w:r>
      <w:r w:rsidR="0052757C">
        <w:t xml:space="preserve"> рабочей программой дисциплины.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92DC6">
        <w:t>межпредметных</w:t>
      </w:r>
      <w:proofErr w:type="spellEnd"/>
      <w:r w:rsidRPr="00792DC6">
        <w:t xml:space="preserve">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Формы самостоятельной работы обучающихся</w:t>
      </w:r>
      <w:bookmarkEnd w:id="2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52757C">
        <w:rPr>
          <w:bCs/>
        </w:rPr>
        <w:t>Философия</w:t>
      </w:r>
      <w:r w:rsidRPr="002B7408">
        <w:rPr>
          <w:bCs/>
        </w:rPr>
        <w:t>»</w:t>
      </w:r>
    </w:p>
    <w:p w:rsidR="001C3ED9" w:rsidRPr="00EA099E" w:rsidRDefault="001C3ED9" w:rsidP="001235DA">
      <w:pPr>
        <w:pStyle w:val="2"/>
        <w:spacing w:befor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13140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3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4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5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096"/>
        <w:gridCol w:w="6694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При изучении материала по учебнику полезно в тетради (на специально отведенных полях) дополнять конспект лекций. </w:t>
            </w:r>
            <w:r w:rsidRPr="00792DC6">
              <w:lastRenderedPageBreak/>
              <w:t>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</w:t>
            </w:r>
            <w:r w:rsidRPr="00792DC6">
              <w:lastRenderedPageBreak/>
              <w:t>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lastRenderedPageBreak/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</w:t>
            </w:r>
            <w:r w:rsidRPr="00792DC6">
              <w:lastRenderedPageBreak/>
              <w:t>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52757C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/>
                <w:iCs/>
              </w:rPr>
            </w:pPr>
            <w:r w:rsidRPr="00DF1E57">
              <w:rPr>
                <w:b/>
                <w:iCs/>
              </w:rPr>
              <w:t>Оценка</w:t>
            </w: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Cs/>
              </w:rPr>
            </w:pPr>
            <w:r w:rsidRPr="00DF1E57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r w:rsidRPr="00DF1E57">
              <w:rPr>
                <w:bCs/>
                <w:i/>
              </w:rPr>
              <w:t>отлично/ хорошо/ удовлетворительно/ неудовлетворительно</w:t>
            </w:r>
          </w:p>
        </w:tc>
      </w:tr>
      <w:tr w:rsidR="0052757C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  - участие в дискуссии на семинаре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757C" w:rsidRPr="00DF1E57" w:rsidRDefault="0052757C" w:rsidP="00E87A19">
            <w:r w:rsidRPr="00DF1E57">
              <w:rPr>
                <w:bCs/>
                <w:i/>
              </w:rPr>
              <w:t>отлично/ хорошо/ удовлетворительно/ неудовлетворительно</w:t>
            </w:r>
          </w:p>
        </w:tc>
      </w:tr>
      <w:tr w:rsidR="0052757C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i/>
              </w:rPr>
              <w:t>зачтено /не зачтено</w:t>
            </w:r>
          </w:p>
        </w:tc>
      </w:tr>
      <w:tr w:rsidR="0052757C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Cs/>
              </w:rPr>
            </w:pPr>
            <w:r w:rsidRPr="00DF1E57">
              <w:rPr>
                <w:bCs/>
                <w:iCs/>
              </w:rPr>
              <w:t xml:space="preserve">Промежуточная аттестация 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 xml:space="preserve">(экзамен, </w:t>
            </w:r>
          </w:p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bCs/>
                <w:i/>
              </w:rPr>
            </w:pPr>
            <w:r w:rsidRPr="00DF1E57">
              <w:rPr>
                <w:bCs/>
                <w:i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/>
              </w:rPr>
              <w:t>отлично/хорошо/удовлетворительно/неудовлетворительно</w:t>
            </w:r>
          </w:p>
          <w:p w:rsidR="0052757C" w:rsidRPr="00DF1E57" w:rsidRDefault="0052757C" w:rsidP="00E87A19">
            <w:pPr>
              <w:jc w:val="both"/>
            </w:pPr>
            <w:r w:rsidRPr="00DF1E57">
              <w:rPr>
                <w:i/>
              </w:rPr>
              <w:t>зачтено /не зачтено</w:t>
            </w:r>
          </w:p>
        </w:tc>
      </w:tr>
    </w:tbl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2757C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 xml:space="preserve">Оценка по </w:t>
            </w:r>
          </w:p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bCs/>
                <w:iCs/>
              </w:rPr>
            </w:pPr>
            <w:r w:rsidRPr="00DF1E57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52757C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«отлично»/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</w:rPr>
              <w:t>ии</w:t>
            </w:r>
            <w:proofErr w:type="spellEnd"/>
            <w:r w:rsidRPr="00DF1E57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2757C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«хорошо»/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«зачтено «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</w:t>
            </w:r>
            <w:r w:rsidRPr="00DF1E57">
              <w:rPr>
                <w:iCs/>
              </w:rPr>
              <w:lastRenderedPageBreak/>
              <w:t xml:space="preserve">разного уровня сложности, владеет необходимыми для этого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Компетенции, закреплённые за дисциплиной, сформированы на уровне «</w:t>
            </w:r>
            <w:r w:rsidRPr="00DF1E57">
              <w:t>хороший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/>
              </w:rPr>
              <w:t>.</w:t>
            </w:r>
          </w:p>
        </w:tc>
      </w:tr>
      <w:tr w:rsidR="0052757C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lastRenderedPageBreak/>
              <w:t>«удовлетворительно»/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i/>
              </w:rPr>
            </w:pPr>
            <w:r w:rsidRPr="00DF1E57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/>
              </w:rPr>
              <w:t xml:space="preserve">. </w:t>
            </w:r>
          </w:p>
        </w:tc>
      </w:tr>
      <w:tr w:rsidR="0052757C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«неудовлетворительно»/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2757C" w:rsidRPr="00DF1E57" w:rsidRDefault="0052757C" w:rsidP="00E87A19">
            <w:pPr>
              <w:jc w:val="both"/>
              <w:rPr>
                <w:b/>
                <w:i/>
              </w:rPr>
            </w:pPr>
            <w:r w:rsidRPr="00DF1E57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52757C" w:rsidRPr="00DF1E57" w:rsidRDefault="0052757C" w:rsidP="00E87A19">
            <w:pPr>
              <w:jc w:val="both"/>
              <w:rPr>
                <w:iCs/>
              </w:rPr>
            </w:pPr>
            <w:r w:rsidRPr="00DF1E57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2757C" w:rsidRPr="00DF1E57" w:rsidRDefault="0052757C" w:rsidP="00E87A19">
            <w:pPr>
              <w:jc w:val="both"/>
              <w:rPr>
                <w:i/>
              </w:rPr>
            </w:pPr>
            <w:r w:rsidRPr="00DF1E57">
              <w:rPr>
                <w:iCs/>
              </w:rPr>
              <w:t>Компетенции на уровне «достаточный</w:t>
            </w:r>
            <w:r w:rsidRPr="00DF1E57">
              <w:rPr>
                <w:b/>
                <w:i/>
              </w:rPr>
              <w:t>»</w:t>
            </w:r>
            <w:r w:rsidRPr="00DF1E57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52757C" w:rsidRDefault="0052757C" w:rsidP="00E5426E">
      <w:pPr>
        <w:jc w:val="both"/>
      </w:pPr>
    </w:p>
    <w:p w:rsidR="00570142" w:rsidRDefault="00EA099E" w:rsidP="00E5426E">
      <w:pPr>
        <w:jc w:val="both"/>
        <w:rPr>
          <w:lang w:eastAsia="zh-CN"/>
        </w:rPr>
      </w:pPr>
      <w:r w:rsidRPr="00E66D93">
        <w:rPr>
          <w:b/>
          <w:lang w:eastAsia="zh-CN"/>
        </w:rPr>
        <w:t>Автор</w:t>
      </w:r>
      <w:r w:rsidR="00570142" w:rsidRPr="00E66D93">
        <w:rPr>
          <w:b/>
          <w:lang w:eastAsia="zh-CN"/>
        </w:rPr>
        <w:t>:</w:t>
      </w:r>
      <w:r w:rsidR="00570142" w:rsidRPr="00792DC6">
        <w:rPr>
          <w:lang w:eastAsia="zh-CN"/>
        </w:rPr>
        <w:t xml:space="preserve">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sectPr w:rsidR="00570142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648" w:rsidRDefault="00FE6648" w:rsidP="003B0C2A">
      <w:r>
        <w:separator/>
      </w:r>
    </w:p>
  </w:endnote>
  <w:endnote w:type="continuationSeparator" w:id="0">
    <w:p w:rsidR="00FE6648" w:rsidRDefault="00FE6648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66984"/>
      <w:docPartObj>
        <w:docPartGallery w:val="Page Numbers (Bottom of Page)"/>
        <w:docPartUnique/>
      </w:docPartObj>
    </w:sdtPr>
    <w:sdtEndPr/>
    <w:sdtContent>
      <w:p w:rsidR="008E07C2" w:rsidRDefault="007E4CEC">
        <w:pPr>
          <w:pStyle w:val="a5"/>
          <w:jc w:val="right"/>
        </w:pPr>
        <w:r>
          <w:fldChar w:fldCharType="begin"/>
        </w:r>
        <w:r w:rsidR="008E07C2">
          <w:instrText>PAGE   \* MERGEFORMAT</w:instrText>
        </w:r>
        <w:r>
          <w:fldChar w:fldCharType="separate"/>
        </w:r>
        <w:r w:rsidR="003C167D">
          <w:rPr>
            <w:noProof/>
          </w:rPr>
          <w:t>9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648" w:rsidRDefault="00FE6648" w:rsidP="003B0C2A">
      <w:r>
        <w:separator/>
      </w:r>
    </w:p>
  </w:footnote>
  <w:footnote w:type="continuationSeparator" w:id="0">
    <w:p w:rsidR="00FE6648" w:rsidRDefault="00FE6648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621511"/>
      <w:docPartObj>
        <w:docPartGallery w:val="Page Numbers (Top of Page)"/>
        <w:docPartUnique/>
      </w:docPartObj>
    </w:sdtPr>
    <w:sdtEndPr/>
    <w:sdtContent>
      <w:p w:rsidR="008E07C2" w:rsidRDefault="008E07C2" w:rsidP="008E07C2">
        <w:pPr>
          <w:pStyle w:val="a3"/>
        </w:pPr>
      </w:p>
      <w:p w:rsidR="003A7410" w:rsidRDefault="00FE6648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3533"/>
    <w:rsid w:val="00012F2E"/>
    <w:rsid w:val="00024947"/>
    <w:rsid w:val="00031948"/>
    <w:rsid w:val="00040EEC"/>
    <w:rsid w:val="000462C0"/>
    <w:rsid w:val="00083343"/>
    <w:rsid w:val="000A61D3"/>
    <w:rsid w:val="000C54E9"/>
    <w:rsid w:val="000F64EA"/>
    <w:rsid w:val="00121932"/>
    <w:rsid w:val="001235DA"/>
    <w:rsid w:val="00124229"/>
    <w:rsid w:val="0013120A"/>
    <w:rsid w:val="001447C8"/>
    <w:rsid w:val="001A1941"/>
    <w:rsid w:val="001A508C"/>
    <w:rsid w:val="001C3ED9"/>
    <w:rsid w:val="001C50EA"/>
    <w:rsid w:val="001D69FD"/>
    <w:rsid w:val="002036D4"/>
    <w:rsid w:val="00255927"/>
    <w:rsid w:val="0029445D"/>
    <w:rsid w:val="002A2374"/>
    <w:rsid w:val="002B7408"/>
    <w:rsid w:val="002E1DB4"/>
    <w:rsid w:val="003201A2"/>
    <w:rsid w:val="00321A5F"/>
    <w:rsid w:val="003256CD"/>
    <w:rsid w:val="003A7410"/>
    <w:rsid w:val="003A7A09"/>
    <w:rsid w:val="003B0C2A"/>
    <w:rsid w:val="003B446A"/>
    <w:rsid w:val="003C167D"/>
    <w:rsid w:val="003E058A"/>
    <w:rsid w:val="00411946"/>
    <w:rsid w:val="00413630"/>
    <w:rsid w:val="004139AE"/>
    <w:rsid w:val="004340F5"/>
    <w:rsid w:val="004A5C53"/>
    <w:rsid w:val="00514E1A"/>
    <w:rsid w:val="0052757C"/>
    <w:rsid w:val="00567044"/>
    <w:rsid w:val="00570142"/>
    <w:rsid w:val="005822A5"/>
    <w:rsid w:val="00605EA0"/>
    <w:rsid w:val="00617E4A"/>
    <w:rsid w:val="00627576"/>
    <w:rsid w:val="006556C0"/>
    <w:rsid w:val="0065729E"/>
    <w:rsid w:val="006716F8"/>
    <w:rsid w:val="006742FF"/>
    <w:rsid w:val="00677F78"/>
    <w:rsid w:val="00682BD3"/>
    <w:rsid w:val="00690BAF"/>
    <w:rsid w:val="00696677"/>
    <w:rsid w:val="006A0100"/>
    <w:rsid w:val="006B4E45"/>
    <w:rsid w:val="006C2FF0"/>
    <w:rsid w:val="006C6FFE"/>
    <w:rsid w:val="006F2DC5"/>
    <w:rsid w:val="00706B0F"/>
    <w:rsid w:val="00712B3B"/>
    <w:rsid w:val="00734C36"/>
    <w:rsid w:val="00735663"/>
    <w:rsid w:val="00761E5C"/>
    <w:rsid w:val="00774E58"/>
    <w:rsid w:val="007909A4"/>
    <w:rsid w:val="00792968"/>
    <w:rsid w:val="00792DC6"/>
    <w:rsid w:val="007A5A8A"/>
    <w:rsid w:val="007B7881"/>
    <w:rsid w:val="007C2120"/>
    <w:rsid w:val="007C26D3"/>
    <w:rsid w:val="007C60AA"/>
    <w:rsid w:val="007D3717"/>
    <w:rsid w:val="007E4CEC"/>
    <w:rsid w:val="00801658"/>
    <w:rsid w:val="008140CD"/>
    <w:rsid w:val="00830A11"/>
    <w:rsid w:val="008A223B"/>
    <w:rsid w:val="008E07C2"/>
    <w:rsid w:val="0090337A"/>
    <w:rsid w:val="0092201F"/>
    <w:rsid w:val="0097514C"/>
    <w:rsid w:val="009A5EF1"/>
    <w:rsid w:val="009B7611"/>
    <w:rsid w:val="009E32C7"/>
    <w:rsid w:val="00A07F16"/>
    <w:rsid w:val="00A3162E"/>
    <w:rsid w:val="00A36B0E"/>
    <w:rsid w:val="00A76F55"/>
    <w:rsid w:val="00A90D12"/>
    <w:rsid w:val="00AB2825"/>
    <w:rsid w:val="00B039D9"/>
    <w:rsid w:val="00B068D3"/>
    <w:rsid w:val="00B17CDA"/>
    <w:rsid w:val="00B63B52"/>
    <w:rsid w:val="00C2024A"/>
    <w:rsid w:val="00C20C93"/>
    <w:rsid w:val="00C22088"/>
    <w:rsid w:val="00C42873"/>
    <w:rsid w:val="00C52188"/>
    <w:rsid w:val="00C562BC"/>
    <w:rsid w:val="00C7545C"/>
    <w:rsid w:val="00CA5FBA"/>
    <w:rsid w:val="00CB2E59"/>
    <w:rsid w:val="00CC015D"/>
    <w:rsid w:val="00D05AB8"/>
    <w:rsid w:val="00D144F8"/>
    <w:rsid w:val="00D64CFF"/>
    <w:rsid w:val="00DA1B1B"/>
    <w:rsid w:val="00DA555E"/>
    <w:rsid w:val="00DA6BDD"/>
    <w:rsid w:val="00DC0D6A"/>
    <w:rsid w:val="00DD1137"/>
    <w:rsid w:val="00DF0AB9"/>
    <w:rsid w:val="00DF0BFE"/>
    <w:rsid w:val="00E15DB4"/>
    <w:rsid w:val="00E230B7"/>
    <w:rsid w:val="00E5426E"/>
    <w:rsid w:val="00E64A9C"/>
    <w:rsid w:val="00E66D93"/>
    <w:rsid w:val="00E96474"/>
    <w:rsid w:val="00EA099E"/>
    <w:rsid w:val="00ED312A"/>
    <w:rsid w:val="00EE1D51"/>
    <w:rsid w:val="00F05687"/>
    <w:rsid w:val="00F60FA0"/>
    <w:rsid w:val="00F66C8B"/>
    <w:rsid w:val="00F83595"/>
    <w:rsid w:val="00F9586F"/>
    <w:rsid w:val="00F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8765B"/>
  <w15:docId w15:val="{4968D54E-4483-45D1-926D-A104F426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9D29-B7E2-45E4-AEE6-B78F0EE5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Ирина Львовна Киселева</cp:lastModifiedBy>
  <cp:revision>5</cp:revision>
  <dcterms:created xsi:type="dcterms:W3CDTF">2023-08-11T13:02:00Z</dcterms:created>
  <dcterms:modified xsi:type="dcterms:W3CDTF">2024-07-23T15:51:00Z</dcterms:modified>
</cp:coreProperties>
</file>